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tabs>
          <w:tab w:leader="none" w:pos="567" w:val="left"/>
          <w:tab w:leader="none" w:pos="7371" w:val="left"/>
        </w:tabs>
        <w:ind/>
        <w:jc w:val="center"/>
        <w:rPr>
          <w:b w:val="1"/>
          <w:sz w:val="28"/>
        </w:rPr>
      </w:pPr>
      <w:r>
        <w:rPr>
          <w:b w:val="1"/>
          <w:sz w:val="28"/>
        </w:rPr>
        <w:t>ПОЯСНИТЕЛЬНАЯ ЗАПИСКА</w:t>
      </w:r>
    </w:p>
    <w:p w14:paraId="04000000">
      <w:pPr>
        <w:tabs>
          <w:tab w:leader="none" w:pos="567" w:val="left"/>
          <w:tab w:leader="none" w:pos="7371" w:val="left"/>
        </w:tabs>
        <w:ind/>
        <w:jc w:val="center"/>
        <w:rPr>
          <w:b w:val="1"/>
          <w:sz w:val="28"/>
        </w:rPr>
      </w:pPr>
      <w:r>
        <w:rPr>
          <w:b w:val="1"/>
          <w:sz w:val="28"/>
        </w:rPr>
        <w:t xml:space="preserve">к </w:t>
      </w:r>
      <w:r>
        <w:rPr>
          <w:b w:val="1"/>
          <w:sz w:val="28"/>
        </w:rPr>
        <w:t>проект</w:t>
      </w:r>
      <w:r>
        <w:rPr>
          <w:b w:val="1"/>
          <w:sz w:val="28"/>
        </w:rPr>
        <w:t>у</w:t>
      </w:r>
      <w:r>
        <w:rPr>
          <w:b w:val="1"/>
          <w:sz w:val="28"/>
        </w:rPr>
        <w:t xml:space="preserve"> областного закона </w:t>
      </w:r>
      <w:r>
        <w:rPr>
          <w:b w:val="1"/>
          <w:sz w:val="28"/>
        </w:rPr>
        <w:t>«</w:t>
      </w:r>
      <w:r>
        <w:rPr>
          <w:b w:val="1"/>
          <w:sz w:val="28"/>
        </w:rPr>
        <w:t xml:space="preserve">О внесении изменений в Областной закон </w:t>
      </w:r>
    </w:p>
    <w:p w14:paraId="05000000">
      <w:pPr>
        <w:tabs>
          <w:tab w:leader="none" w:pos="567" w:val="left"/>
          <w:tab w:leader="none" w:pos="7371" w:val="left"/>
        </w:tabs>
        <w:ind/>
        <w:jc w:val="center"/>
        <w:rPr>
          <w:b w:val="1"/>
          <w:sz w:val="28"/>
        </w:rPr>
      </w:pPr>
      <w:r>
        <w:rPr>
          <w:b w:val="1"/>
          <w:sz w:val="28"/>
        </w:rPr>
        <w:t>«О градостроительной деятельности в Ростовской области</w:t>
      </w:r>
      <w:r>
        <w:rPr>
          <w:b w:val="1"/>
          <w:sz w:val="28"/>
        </w:rPr>
        <w:t xml:space="preserve">» </w:t>
      </w:r>
      <w:r>
        <w:rPr>
          <w:b w:val="1"/>
          <w:sz w:val="28"/>
        </w:rPr>
        <w:t>и о признании утратившими силу отдельных положений некоторых областных законов»</w:t>
      </w:r>
    </w:p>
    <w:p w14:paraId="06000000">
      <w:pPr>
        <w:tabs>
          <w:tab w:leader="none" w:pos="567" w:val="left"/>
          <w:tab w:leader="none" w:pos="7371" w:val="left"/>
        </w:tabs>
        <w:ind w:firstLine="709" w:left="0"/>
        <w:jc w:val="center"/>
        <w:rPr>
          <w:sz w:val="28"/>
        </w:rPr>
      </w:pPr>
    </w:p>
    <w:p w14:paraId="07000000">
      <w:pPr>
        <w:tabs>
          <w:tab w:leader="none" w:pos="567" w:val="left"/>
          <w:tab w:leader="none" w:pos="7371" w:val="left"/>
        </w:tabs>
        <w:ind w:firstLine="709" w:left="0"/>
        <w:jc w:val="center"/>
        <w:rPr>
          <w:sz w:val="28"/>
        </w:rPr>
      </w:pPr>
    </w:p>
    <w:p w14:paraId="08000000">
      <w:pPr>
        <w:tabs>
          <w:tab w:leader="none" w:pos="567" w:val="left"/>
          <w:tab w:leader="none" w:pos="7371" w:val="left"/>
        </w:tabs>
        <w:ind w:firstLine="709" w:left="0"/>
        <w:jc w:val="both"/>
        <w:rPr>
          <w:b w:val="0"/>
          <w:sz w:val="28"/>
        </w:rPr>
      </w:pPr>
      <w:r>
        <w:rPr>
          <w:b w:val="0"/>
          <w:sz w:val="28"/>
        </w:rPr>
        <w:t>Проект областного закона «</w:t>
      </w:r>
      <w:r>
        <w:rPr>
          <w:b w:val="0"/>
          <w:sz w:val="28"/>
        </w:rPr>
        <w:t xml:space="preserve">О внесении изменений в Областной закон </w:t>
      </w:r>
      <w:r>
        <w:br/>
      </w:r>
      <w:r>
        <w:rPr>
          <w:b w:val="0"/>
          <w:sz w:val="28"/>
        </w:rPr>
        <w:t>«О градостроительной деятельности в Ростовской области</w:t>
      </w:r>
      <w:r>
        <w:rPr>
          <w:b w:val="0"/>
          <w:sz w:val="28"/>
        </w:rPr>
        <w:t>» и</w:t>
      </w:r>
      <w:r>
        <w:rPr>
          <w:b w:val="0"/>
          <w:sz w:val="28"/>
        </w:rPr>
        <w:t xml:space="preserve"> о признании утратившими силу отдельных положений некоторых областных законов</w:t>
      </w:r>
      <w:r>
        <w:rPr>
          <w:b w:val="0"/>
          <w:sz w:val="28"/>
        </w:rPr>
        <w:t>»</w:t>
      </w:r>
      <w:r>
        <w:rPr>
          <w:b w:val="0"/>
          <w:sz w:val="28"/>
        </w:rPr>
        <w:t xml:space="preserve"> (далее – </w:t>
      </w:r>
      <w:r>
        <w:rPr>
          <w:b w:val="0"/>
          <w:sz w:val="28"/>
        </w:rPr>
        <w:t>законопроект</w:t>
      </w:r>
      <w:r>
        <w:rPr>
          <w:b w:val="0"/>
          <w:sz w:val="28"/>
        </w:rPr>
        <w:t>) разработан</w:t>
      </w:r>
      <w:r>
        <w:rPr>
          <w:b w:val="0"/>
          <w:sz w:val="28"/>
        </w:rPr>
        <w:t xml:space="preserve"> в целях приведения</w:t>
      </w:r>
      <w:r>
        <w:rPr>
          <w:b w:val="0"/>
          <w:sz w:val="28"/>
        </w:rPr>
        <w:t xml:space="preserve"> областного законодательства</w:t>
      </w:r>
      <w:r>
        <w:br/>
      </w:r>
      <w:r>
        <w:rPr>
          <w:b w:val="0"/>
          <w:sz w:val="28"/>
        </w:rPr>
        <w:t>в соответствие</w:t>
      </w:r>
      <w:r>
        <w:rPr>
          <w:b w:val="0"/>
          <w:sz w:val="28"/>
        </w:rPr>
        <w:t xml:space="preserve"> </w:t>
      </w:r>
      <w:r>
        <w:rPr>
          <w:b w:val="0"/>
          <w:sz w:val="28"/>
        </w:rPr>
        <w:t>с</w:t>
      </w:r>
      <w:r>
        <w:rPr>
          <w:b w:val="0"/>
          <w:sz w:val="28"/>
        </w:rPr>
        <w:t xml:space="preserve"> </w:t>
      </w:r>
      <w:r>
        <w:rPr>
          <w:b w:val="0"/>
          <w:sz w:val="28"/>
        </w:rPr>
        <w:t>Федеральным</w:t>
      </w:r>
      <w:r>
        <w:rPr>
          <w:b w:val="0"/>
          <w:sz w:val="28"/>
        </w:rPr>
        <w:t>и</w:t>
      </w:r>
      <w:r>
        <w:rPr>
          <w:b w:val="0"/>
          <w:sz w:val="28"/>
        </w:rPr>
        <w:t xml:space="preserve"> закон</w:t>
      </w:r>
      <w:r>
        <w:rPr>
          <w:b w:val="0"/>
          <w:sz w:val="28"/>
        </w:rPr>
        <w:t xml:space="preserve">ами </w:t>
      </w:r>
      <w:r>
        <w:rPr>
          <w:b w:val="0"/>
          <w:sz w:val="28"/>
        </w:rPr>
        <w:t>от 13 июня 2023 года № 240-ФЗ</w:t>
      </w:r>
      <w:r>
        <w:br/>
      </w:r>
      <w:r>
        <w:rPr>
          <w:b w:val="0"/>
          <w:sz w:val="28"/>
        </w:rPr>
        <w:t xml:space="preserve">«О внесении изменений в Градостроительный кодекс Российской Федерации отдельные законодательные акты Российской Федерации» (далее – Федеральный закон № 240-ФЗ) и от 10 июля 2023 года </w:t>
      </w:r>
      <w:r>
        <w:rPr>
          <w:b w:val="0"/>
          <w:sz w:val="28"/>
        </w:rPr>
        <w:t>№ 305-ФЗ «О внесении изменений</w:t>
      </w:r>
      <w:r>
        <w:br/>
      </w:r>
      <w:r>
        <w:rPr>
          <w:b w:val="0"/>
          <w:sz w:val="28"/>
        </w:rPr>
        <w:t xml:space="preserve">в Градостроительный кодекс Российской Федерации и отдельные законодательные акты Российской Федерации </w:t>
      </w:r>
      <w:r>
        <w:rPr>
          <w:b w:val="0"/>
          <w:sz w:val="28"/>
        </w:rPr>
        <w:t>и о признании утратившими силу отдельных положений законодательных актов Российской Федерации» (далее – Федеральный закон № 305-ФЗ).</w:t>
      </w:r>
    </w:p>
    <w:p w14:paraId="09000000">
      <w:pPr>
        <w:tabs>
          <w:tab w:leader="none" w:pos="567" w:val="left"/>
          <w:tab w:leader="none" w:pos="7371" w:val="left"/>
        </w:tabs>
        <w:ind w:firstLine="709" w:left="0"/>
        <w:jc w:val="both"/>
        <w:rPr>
          <w:b w:val="0"/>
          <w:sz w:val="28"/>
        </w:rPr>
      </w:pPr>
      <w:r>
        <w:rPr>
          <w:b w:val="0"/>
          <w:sz w:val="28"/>
        </w:rPr>
        <w:t>Федеральным законом № 240-ФЗ в Градостроительном кодексе Российской Федерации закреплены требования к содержанию не только генерального плана поселения и городского округа, но и генерального плана муниципального округа.</w:t>
      </w:r>
    </w:p>
    <w:p w14:paraId="0A000000">
      <w:pPr>
        <w:tabs>
          <w:tab w:leader="none" w:pos="567" w:val="left"/>
          <w:tab w:leader="none" w:pos="7371" w:val="left"/>
        </w:tabs>
        <w:ind w:firstLine="709" w:left="0"/>
        <w:jc w:val="both"/>
        <w:rPr>
          <w:b w:val="0"/>
          <w:sz w:val="28"/>
        </w:rPr>
      </w:pPr>
      <w:r>
        <w:rPr>
          <w:b w:val="0"/>
          <w:sz w:val="28"/>
        </w:rPr>
        <w:t xml:space="preserve">С учетом этого из наименований карт, содержащихся в генеральном плане, исключено указание на вид муниципального образования. Теперь вместо «карты планируемого размещения объектов местного значения поселения или городского округа» генеральный план должен содержать «карту планируемого размещения объектов местного значения», вместо «карты границ населенных пунктов, входящих в состав поселения или городского округа» – «карту границ населенных пунктов», </w:t>
      </w:r>
      <w:r>
        <w:br/>
      </w:r>
      <w:r>
        <w:rPr>
          <w:b w:val="0"/>
          <w:sz w:val="28"/>
        </w:rPr>
        <w:t>а вместо «карты функциональных зон поселения и городского округа» – «карту функциональных зон». Также исключено указание на конкретный вид муниципального образования в прилагаемых к генеральному плану сведениях</w:t>
      </w:r>
      <w:r>
        <w:br/>
      </w:r>
      <w:r>
        <w:rPr>
          <w:b w:val="0"/>
          <w:sz w:val="28"/>
        </w:rPr>
        <w:t xml:space="preserve">о границах населенных пунктов, материалах по его обоснованию в виде карт, отображающих местоположение объектов местного значения, а также в сведениях </w:t>
      </w:r>
      <w:r>
        <w:br/>
      </w:r>
      <w:r>
        <w:rPr>
          <w:b w:val="0"/>
          <w:sz w:val="28"/>
        </w:rPr>
        <w:t xml:space="preserve">о планируемых для размещения объектов местного значения, содержащихся </w:t>
      </w:r>
      <w:r>
        <w:br/>
      </w:r>
      <w:r>
        <w:rPr>
          <w:b w:val="0"/>
          <w:sz w:val="28"/>
        </w:rPr>
        <w:t>в положении о территориальном планировании.</w:t>
      </w:r>
    </w:p>
    <w:p w14:paraId="0B000000">
      <w:pPr>
        <w:tabs>
          <w:tab w:leader="none" w:pos="567" w:val="left"/>
          <w:tab w:leader="none" w:pos="7371" w:val="left"/>
        </w:tabs>
        <w:ind w:firstLine="709" w:left="0"/>
        <w:jc w:val="both"/>
        <w:rPr>
          <w:b w:val="0"/>
          <w:sz w:val="28"/>
        </w:rPr>
      </w:pPr>
      <w:r>
        <w:rPr>
          <w:b w:val="0"/>
          <w:sz w:val="28"/>
        </w:rPr>
        <w:t>Федеральным законом № 305-ФЗ конкретизируются положения Градостроительного кодекса Российской Федерации о едином документе территориального планирования и градостроительного зонирования (далее – единый документ) с учетом видов муниципальных образований, применительно к которым утвержден единый документ. Так, не требуется подготовка правил землепользования и застройки поселения, муниципального округа, городского округа,в том числе  применительно к территориям входящих в их состав населенных пунктов, их частям в случае, если в отношении муниципальных образований утвержден единый документ.</w:t>
      </w:r>
    </w:p>
    <w:p w14:paraId="0C000000">
      <w:pPr>
        <w:tabs>
          <w:tab w:leader="none" w:pos="567" w:val="left"/>
          <w:tab w:leader="none" w:pos="7371" w:val="left"/>
        </w:tabs>
        <w:ind w:firstLine="709" w:left="0"/>
        <w:jc w:val="both"/>
        <w:rPr>
          <w:b w:val="0"/>
          <w:sz w:val="28"/>
        </w:rPr>
      </w:pPr>
      <w:r>
        <w:rPr>
          <w:b w:val="0"/>
          <w:sz w:val="28"/>
        </w:rPr>
        <w:t xml:space="preserve">Также исключается полномочие субъектов Российской Федерации устанавливать порядок подготовки и утверждения документации по планировке территории, порядок  внесения в нее изменений, отмены такой документации </w:t>
      </w:r>
      <w:r>
        <w:br/>
      </w:r>
      <w:r>
        <w:rPr>
          <w:b w:val="0"/>
          <w:sz w:val="28"/>
        </w:rPr>
        <w:t xml:space="preserve">или ее отдельных частей, а также признания отдельных частей такой документации не подлежащими применению. </w:t>
      </w:r>
      <w:r>
        <w:rPr>
          <w:b w:val="0"/>
          <w:sz w:val="28"/>
        </w:rPr>
        <w:t xml:space="preserve">С 1 сентября 2023 года соответствующим полномочием наделено Правительство Российской Федерации.    </w:t>
      </w:r>
    </w:p>
    <w:p w14:paraId="0D000000">
      <w:pPr>
        <w:tabs>
          <w:tab w:leader="none" w:pos="567" w:val="left"/>
          <w:tab w:leader="none" w:pos="7371" w:val="left"/>
        </w:tabs>
        <w:ind w:firstLine="709" w:left="0"/>
        <w:jc w:val="both"/>
        <w:rPr>
          <w:sz w:val="28"/>
        </w:rPr>
      </w:pPr>
      <w:r>
        <w:rPr>
          <w:sz w:val="28"/>
        </w:rPr>
        <w:t>В связи с изложенным, з</w:t>
      </w:r>
      <w:r>
        <w:rPr>
          <w:sz w:val="28"/>
        </w:rPr>
        <w:t>аконопроектом предлагается</w:t>
      </w:r>
      <w:r>
        <w:rPr>
          <w:sz w:val="28"/>
        </w:rPr>
        <w:t xml:space="preserve"> внести </w:t>
      </w:r>
      <w:r>
        <w:rPr>
          <w:sz w:val="28"/>
        </w:rPr>
        <w:t xml:space="preserve">в </w:t>
      </w:r>
      <w:r>
        <w:rPr>
          <w:sz w:val="28"/>
        </w:rPr>
        <w:t xml:space="preserve">Областной закон </w:t>
      </w:r>
      <w:r>
        <w:rPr>
          <w:sz w:val="28"/>
        </w:rPr>
        <w:t xml:space="preserve">от </w:t>
      </w:r>
      <w:r>
        <w:rPr>
          <w:sz w:val="28"/>
        </w:rPr>
        <w:t xml:space="preserve">14 января 2008 года № 853-ЗС </w:t>
      </w:r>
      <w:r>
        <w:rPr>
          <w:sz w:val="28"/>
        </w:rPr>
        <w:t>«О градостроительной деятельности в</w:t>
      </w:r>
      <w:r>
        <w:rPr>
          <w:sz w:val="28"/>
        </w:rPr>
        <w:t> </w:t>
      </w:r>
      <w:r>
        <w:rPr>
          <w:sz w:val="28"/>
        </w:rPr>
        <w:t>Ростовской области</w:t>
      </w:r>
      <w:r>
        <w:rPr>
          <w:sz w:val="28"/>
        </w:rPr>
        <w:t>» (далее – Областной закон № 853-ЗС) следующие изменения</w:t>
      </w:r>
      <w:r>
        <w:rPr>
          <w:sz w:val="28"/>
        </w:rPr>
        <w:t>:</w:t>
      </w:r>
    </w:p>
    <w:p w14:paraId="0E000000">
      <w:pPr>
        <w:tabs>
          <w:tab w:leader="none" w:pos="567" w:val="left"/>
          <w:tab w:leader="none" w:pos="7371" w:val="left"/>
        </w:tabs>
        <w:ind w:firstLine="709" w:left="0"/>
        <w:jc w:val="both"/>
        <w:rPr>
          <w:sz w:val="28"/>
        </w:rPr>
      </w:pPr>
      <w:r>
        <w:rPr>
          <w:sz w:val="28"/>
        </w:rPr>
        <w:t>а</w:t>
      </w:r>
      <w:r>
        <w:rPr>
          <w:sz w:val="28"/>
        </w:rPr>
        <w:t>) исключить из полномочий Законодательного Собрания Ростовской области в сфере градостроительной деятельности полномочие по установлению порядка подготовки документации по планировки территории в случаях, предусмотренных Градостроительным кодексом Российской Федерации (статья 5);</w:t>
      </w:r>
    </w:p>
    <w:p w14:paraId="0F000000">
      <w:pPr>
        <w:tabs>
          <w:tab w:leader="none" w:pos="567" w:val="left"/>
          <w:tab w:leader="none" w:pos="7371" w:val="left"/>
        </w:tabs>
        <w:ind w:firstLine="709" w:left="0"/>
        <w:jc w:val="both"/>
        <w:rPr>
          <w:sz w:val="28"/>
        </w:rPr>
      </w:pPr>
      <w:r>
        <w:rPr>
          <w:sz w:val="28"/>
        </w:rPr>
        <w:t>б) уточнить положения о содержании генерального плана (статья 17</w:t>
      </w:r>
      <w:r>
        <w:rPr>
          <w:sz w:val="28"/>
        </w:rPr>
        <w:t>);</w:t>
      </w:r>
    </w:p>
    <w:p w14:paraId="10000000">
      <w:pPr>
        <w:tabs>
          <w:tab w:leader="none" w:pos="567" w:val="left"/>
          <w:tab w:leader="none" w:pos="7371" w:val="left"/>
        </w:tabs>
        <w:ind w:firstLine="709" w:left="0"/>
        <w:jc w:val="both"/>
        <w:rPr>
          <w:sz w:val="28"/>
        </w:rPr>
      </w:pPr>
      <w:r>
        <w:rPr>
          <w:sz w:val="28"/>
        </w:rPr>
        <w:t>в) уточнить положения о</w:t>
      </w:r>
      <w:r>
        <w:rPr>
          <w:rStyle w:val="Style_2_ch"/>
          <w:sz w:val="28"/>
        </w:rPr>
        <w:t xml:space="preserve"> </w:t>
      </w:r>
      <w:r>
        <w:rPr>
          <w:rStyle w:val="Style_2_ch"/>
          <w:sz w:val="28"/>
        </w:rPr>
        <w:t xml:space="preserve">едином документе территориального планирования </w:t>
      </w:r>
      <w:r>
        <w:br/>
      </w:r>
      <w:r>
        <w:rPr>
          <w:rStyle w:val="Style_2_ch"/>
          <w:sz w:val="28"/>
        </w:rPr>
        <w:t>и градостроительного зонирования поселения, городского округа</w:t>
      </w:r>
      <w:r>
        <w:rPr>
          <w:rStyle w:val="Style_2_ch"/>
          <w:sz w:val="28"/>
        </w:rPr>
        <w:t xml:space="preserve"> (статья</w:t>
      </w:r>
      <w:r>
        <w:rPr>
          <w:sz w:val="28"/>
        </w:rPr>
        <w:t xml:space="preserve"> 23);</w:t>
      </w:r>
    </w:p>
    <w:p w14:paraId="11000000">
      <w:pPr>
        <w:tabs>
          <w:tab w:leader="none" w:pos="567" w:val="left"/>
          <w:tab w:leader="none" w:pos="7371" w:val="left"/>
        </w:tabs>
        <w:ind w:firstLine="709" w:left="0"/>
        <w:jc w:val="both"/>
        <w:rPr>
          <w:rFonts w:ascii="Times New Roman" w:hAnsi="Times New Roman"/>
          <w:b w:val="0"/>
          <w:strike w:val="0"/>
          <w:color w:val="000000"/>
          <w:sz w:val="28"/>
        </w:rPr>
      </w:pPr>
      <w:r>
        <w:rPr>
          <w:sz w:val="28"/>
        </w:rPr>
        <w:t>г) признать утратившим силу п</w:t>
      </w:r>
      <w:r>
        <w:rPr>
          <w:rFonts w:ascii="Times New Roman" w:hAnsi="Times New Roman"/>
          <w:b w:val="0"/>
          <w:strike w:val="0"/>
          <w:color w:val="000000"/>
          <w:sz w:val="28"/>
        </w:rPr>
        <w:t xml:space="preserve">орядок подготовки и утверждения документации по планировке территории, внесения изменений в документацию </w:t>
      </w:r>
      <w:r>
        <w:br/>
      </w:r>
      <w:r>
        <w:rPr>
          <w:rFonts w:ascii="Times New Roman" w:hAnsi="Times New Roman"/>
          <w:b w:val="0"/>
          <w:strike w:val="0"/>
          <w:color w:val="000000"/>
          <w:sz w:val="28"/>
        </w:rPr>
        <w:t xml:space="preserve">по планировке территории, отмены документации </w:t>
      </w:r>
      <w:r>
        <w:rPr>
          <w:rFonts w:ascii="Times New Roman" w:hAnsi="Times New Roman"/>
          <w:b w:val="0"/>
          <w:strike w:val="0"/>
          <w:color w:val="000000"/>
          <w:sz w:val="28"/>
        </w:rPr>
        <w:t xml:space="preserve">по планировке территории, утвержденной Правительством Ростовской области, </w:t>
      </w:r>
      <w:r>
        <w:rPr>
          <w:rFonts w:ascii="Times New Roman" w:hAnsi="Times New Roman"/>
          <w:b w:val="0"/>
          <w:strike w:val="0"/>
          <w:color w:val="000000"/>
          <w:sz w:val="28"/>
        </w:rPr>
        <w:t xml:space="preserve">или ее отдельных частей, признания отдельных частей такой документации </w:t>
      </w:r>
      <w:r>
        <w:rPr>
          <w:rFonts w:ascii="Times New Roman" w:hAnsi="Times New Roman"/>
          <w:b w:val="0"/>
          <w:strike w:val="0"/>
          <w:color w:val="000000"/>
          <w:sz w:val="28"/>
        </w:rPr>
        <w:t>не подлежащими применению (статья 27).</w:t>
      </w:r>
    </w:p>
    <w:p w14:paraId="12000000">
      <w:pPr>
        <w:ind w:firstLine="709" w:left="0"/>
        <w:jc w:val="both"/>
        <w:rPr>
          <w:sz w:val="28"/>
        </w:rPr>
      </w:pPr>
      <w:r>
        <w:rPr>
          <w:sz w:val="28"/>
        </w:rPr>
        <w:t xml:space="preserve">В этой связи законопроектом предлагается признать утратившими силу </w:t>
      </w:r>
      <w:r>
        <w:br/>
      </w:r>
      <w:r>
        <w:rPr>
          <w:sz w:val="28"/>
        </w:rPr>
        <w:t>отдельные положения некоторых областных законов.</w:t>
      </w:r>
    </w:p>
    <w:p w14:paraId="13000000">
      <w:pPr>
        <w:ind w:firstLine="709" w:left="0"/>
        <w:jc w:val="both"/>
        <w:rPr>
          <w:sz w:val="28"/>
        </w:rPr>
      </w:pPr>
      <w:r>
        <w:rPr>
          <w:sz w:val="28"/>
        </w:rPr>
        <w:t>Принятие законопроекта не потребует дополнительных</w:t>
      </w:r>
      <w:r>
        <w:rPr>
          <w:sz w:val="28"/>
        </w:rPr>
        <w:t xml:space="preserve"> материальных затрат.</w:t>
      </w:r>
    </w:p>
    <w:p w14:paraId="14000000">
      <w:pPr>
        <w:ind w:firstLine="709" w:left="0"/>
        <w:jc w:val="both"/>
        <w:rPr>
          <w:sz w:val="28"/>
        </w:rPr>
      </w:pPr>
    </w:p>
    <w:p w14:paraId="15000000">
      <w:pPr>
        <w:ind w:firstLine="709" w:left="0"/>
        <w:jc w:val="both"/>
        <w:rPr>
          <w:sz w:val="28"/>
        </w:rPr>
      </w:pPr>
    </w:p>
    <w:p w14:paraId="16000000">
      <w:pPr>
        <w:ind w:firstLine="709" w:left="0"/>
        <w:jc w:val="both"/>
        <w:rPr>
          <w:sz w:val="28"/>
        </w:rPr>
      </w:pPr>
    </w:p>
    <w:tbl>
      <w:tblPr>
        <w:tblStyle w:val="Style_3"/>
        <w:tblBorders>
          <w:top w:color="000000" w:sz="4" w:val="nil"/>
          <w:left w:color="000000" w:sz="4" w:val="nil"/>
          <w:bottom w:color="000000" w:sz="4" w:val="nil"/>
          <w:right w:color="000000" w:sz="4" w:val="nil"/>
          <w:insideH w:color="000000" w:sz="4" w:val="nil"/>
          <w:insideV w:color="000000" w:sz="4" w:val="nil"/>
        </w:tblBorders>
        <w:tblLayout w:type="fixed"/>
      </w:tblPr>
      <w:tblGrid>
        <w:gridCol w:w="4503"/>
        <w:gridCol w:w="5918"/>
      </w:tblGrid>
      <w:tr>
        <w:tc>
          <w:tcPr>
            <w:tcW w:type="dxa" w:w="4503"/>
            <w:tcBorders>
              <w:top w:color="000000" w:sz="4" w:val="nil"/>
              <w:left w:color="000000" w:sz="4" w:val="nil"/>
              <w:bottom w:color="000000" w:sz="4" w:val="nil"/>
              <w:right w:color="000000" w:sz="4" w:val="nil"/>
            </w:tcBorders>
          </w:tcPr>
          <w:p w14:paraId="17000000">
            <w:pPr>
              <w:pStyle w:val="Style_4"/>
              <w:ind w:firstLine="0" w:left="0"/>
              <w:jc w:val="center"/>
            </w:pPr>
            <w:r>
              <w:t>Министр</w:t>
            </w:r>
            <w:r>
              <w:t xml:space="preserve"> строительства,</w:t>
            </w:r>
          </w:p>
          <w:p w14:paraId="18000000">
            <w:pPr>
              <w:pStyle w:val="Style_4"/>
              <w:ind w:firstLine="0" w:left="0"/>
              <w:jc w:val="center"/>
            </w:pPr>
            <w:r>
              <w:t>архитектуры и территориального</w:t>
            </w:r>
          </w:p>
          <w:p w14:paraId="19000000">
            <w:pPr>
              <w:pStyle w:val="Style_4"/>
              <w:ind w:firstLine="0" w:left="0"/>
              <w:jc w:val="center"/>
            </w:pPr>
            <w:r>
              <w:t>развития Ростовской области</w:t>
            </w:r>
          </w:p>
        </w:tc>
        <w:tc>
          <w:tcPr>
            <w:tcW w:type="dxa" w:w="5918"/>
            <w:tcBorders>
              <w:top w:color="000000" w:sz="4" w:val="nil"/>
              <w:left w:color="000000" w:sz="4" w:val="nil"/>
              <w:bottom w:color="000000" w:sz="4" w:val="nil"/>
              <w:right w:color="000000" w:sz="4" w:val="nil"/>
            </w:tcBorders>
          </w:tcPr>
          <w:p w14:paraId="1A000000">
            <w:pPr>
              <w:pStyle w:val="Style_4"/>
              <w:ind w:firstLine="0" w:left="0"/>
              <w:jc w:val="right"/>
            </w:pPr>
          </w:p>
          <w:p w14:paraId="1B000000">
            <w:pPr>
              <w:pStyle w:val="Style_4"/>
              <w:ind w:firstLine="0" w:left="0"/>
              <w:jc w:val="right"/>
            </w:pPr>
          </w:p>
          <w:p w14:paraId="1C000000">
            <w:pPr>
              <w:pStyle w:val="Style_4"/>
              <w:ind w:firstLine="0" w:left="0"/>
              <w:jc w:val="right"/>
            </w:pPr>
            <w:r>
              <w:t>Ю.Ю. Сильвестров</w:t>
            </w:r>
          </w:p>
        </w:tc>
      </w:tr>
    </w:tbl>
    <w:p w14:paraId="1D000000">
      <w:pPr>
        <w:spacing w:after="200" w:line="276" w:lineRule="auto"/>
        <w:ind/>
      </w:pPr>
    </w:p>
    <w:sectPr>
      <w:headerReference r:id="rId1" w:type="default"/>
      <w:pgSz w:h="16848" w:orient="portrait" w:w="11908"/>
      <w:pgMar w:bottom="1134" w:footer="125" w:gutter="0" w:header="709" w:left="1134"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after="0" w:line="240" w:lineRule="auto"/>
      <w:ind/>
    </w:pPr>
    <w:rPr>
      <w:rFonts w:ascii="Times New Roman" w:hAnsi="Times New Roman"/>
      <w:sz w:val="24"/>
    </w:rPr>
  </w:style>
  <w:style w:default="1" w:styleId="Style_2_ch" w:type="character">
    <w:name w:val="Normal"/>
    <w:link w:val="Style_2"/>
    <w:rPr>
      <w:rFonts w:ascii="Times New Roman" w:hAnsi="Times New Roman"/>
      <w:sz w:val="24"/>
    </w:rPr>
  </w:style>
  <w:style w:styleId="Style_5" w:type="paragraph">
    <w:name w:val="toc 2"/>
    <w:next w:val="Style_2"/>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2"/>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2"/>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2"/>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2"/>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List Paragraph"/>
    <w:basedOn w:val="Style_2"/>
    <w:link w:val="Style_10_ch"/>
    <w:pPr>
      <w:ind w:firstLine="0" w:left="720"/>
      <w:contextualSpacing w:val="1"/>
    </w:pPr>
  </w:style>
  <w:style w:styleId="Style_10_ch" w:type="character">
    <w:name w:val="List Paragraph"/>
    <w:basedOn w:val="Style_2_ch"/>
    <w:link w:val="Style_10"/>
  </w:style>
  <w:style w:styleId="Style_11" w:type="paragraph">
    <w:name w:val="footer"/>
    <w:basedOn w:val="Style_2"/>
    <w:link w:val="Style_11_ch"/>
    <w:pPr>
      <w:tabs>
        <w:tab w:leader="none" w:pos="4677" w:val="center"/>
        <w:tab w:leader="none" w:pos="9355" w:val="right"/>
      </w:tabs>
      <w:ind/>
    </w:pPr>
  </w:style>
  <w:style w:styleId="Style_11_ch" w:type="character">
    <w:name w:val="footer"/>
    <w:basedOn w:val="Style_2_ch"/>
    <w:link w:val="Style_11"/>
  </w:style>
  <w:style w:styleId="Style_12" w:type="paragraph">
    <w:name w:val="toc 3"/>
    <w:next w:val="Style_2"/>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 w:type="paragraph">
    <w:name w:val="header"/>
    <w:basedOn w:val="Style_2"/>
    <w:link w:val="Style_1_ch"/>
    <w:pPr>
      <w:tabs>
        <w:tab w:leader="none" w:pos="4677" w:val="center"/>
        <w:tab w:leader="none" w:pos="9355" w:val="right"/>
      </w:tabs>
      <w:ind/>
    </w:pPr>
  </w:style>
  <w:style w:styleId="Style_1_ch" w:type="character">
    <w:name w:val="header"/>
    <w:basedOn w:val="Style_2_ch"/>
    <w:link w:val="Style_1"/>
  </w:style>
  <w:style w:styleId="Style_13" w:type="paragraph">
    <w:name w:val="heading 5"/>
    <w:next w:val="Style_2"/>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2"/>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2"/>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4" w:type="paragraph">
    <w:name w:val="Абзац"/>
    <w:link w:val="Style_4_ch"/>
    <w:pPr>
      <w:spacing w:after="0" w:line="240" w:lineRule="auto"/>
      <w:ind w:firstLine="720" w:left="0"/>
      <w:jc w:val="both"/>
    </w:pPr>
    <w:rPr>
      <w:rFonts w:ascii="Times New Roman" w:hAnsi="Times New Roman"/>
      <w:sz w:val="28"/>
    </w:rPr>
  </w:style>
  <w:style w:styleId="Style_4_ch" w:type="character">
    <w:name w:val="Абзац"/>
    <w:link w:val="Style_4"/>
    <w:rPr>
      <w:rFonts w:ascii="Times New Roman" w:hAnsi="Times New Roman"/>
      <w:sz w:val="28"/>
    </w:rPr>
  </w:style>
  <w:style w:styleId="Style_22" w:type="paragraph">
    <w:name w:val="Subtitle"/>
    <w:next w:val="Style_2"/>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2"/>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2"/>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Default Paragraph Font"/>
    <w:link w:val="Style_25_ch"/>
  </w:style>
  <w:style w:styleId="Style_25_ch" w:type="character">
    <w:name w:val="Default Paragraph Font"/>
    <w:link w:val="Style_25"/>
  </w:style>
  <w:style w:styleId="Style_26" w:type="paragraph">
    <w:name w:val="heading 2"/>
    <w:next w:val="Style_2"/>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styleId="Style_27" w:type="paragraph">
    <w:name w:val="ConsPlusNormal"/>
    <w:link w:val="Style_27_ch"/>
    <w:pPr>
      <w:widowControl w:val="0"/>
      <w:spacing w:after="0" w:line="240" w:lineRule="auto"/>
      <w:ind/>
    </w:pPr>
    <w:rPr>
      <w:rFonts w:ascii="Calibri" w:hAnsi="Calibri"/>
    </w:rPr>
  </w:style>
  <w:style w:styleId="Style_27_ch" w:type="character">
    <w:name w:val="ConsPlusNormal"/>
    <w:link w:val="Style_27"/>
    <w:rPr>
      <w:rFonts w:ascii="Calibri" w:hAnsi="Calibri"/>
    </w:rPr>
  </w:style>
  <w:style w:default="1" w:styleId="Style_28" w:type="table">
    <w:name w:val="Normal Table"/>
    <w:tblPr>
      <w:tblInd w:type="dxa" w:w="0"/>
      <w:tblCellMar>
        <w:top w:type="dxa" w:w="0"/>
        <w:left w:type="dxa" w:w="108"/>
        <w:bottom w:type="dxa" w:w="0"/>
        <w:right w:type="dxa" w:w="108"/>
      </w:tblCellMar>
    </w:tblPr>
  </w:style>
  <w:style w:styleId="Style_3" w:type="table">
    <w:name w:val="Table Grid"/>
    <w:basedOn w:val="Style_28"/>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2023-09-27T09:40:41Z</dcterms:modified>
</cp:coreProperties>
</file>